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AA8C7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196.5045</w:t>
      </w: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 </w:t>
      </w: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 Telecommuter Forward! certification.</w:t>
      </w:r>
    </w:p>
    <w:p w14:paraId="44B9A452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(1)</w:t>
      </w: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 </w:t>
      </w: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 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In this section, “political subdivision" means a city, village, town, or county.</w:t>
      </w:r>
    </w:p>
    <w:p w14:paraId="20E1C950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 (2)</w:t>
      </w: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 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A political subdivision may apply to the commission for certification as a Telecommuter Forward! community. The commission shall prescribe the form and manner for making an application and a process for public notice and comment on an application. The commission shall approve an application and certify a political subdivision as a Telecommuter Forward! community if the commission determines that the political subdivision has adopted a resolution that complies with sub. </w:t>
      </w:r>
      <w:hyperlink r:id="rId4" w:tooltip="Statutes 196.5045(3)" w:history="1">
        <w:r w:rsidRPr="002D0146">
          <w:rPr>
            <w:rFonts w:ascii="Times" w:eastAsia="Times New Roman" w:hAnsi="Times" w:cs="Times New Roman"/>
            <w:color w:val="426986"/>
            <w:sz w:val="22"/>
            <w:szCs w:val="22"/>
            <w:u w:val="single"/>
          </w:rPr>
          <w:t>(3)</w:t>
        </w:r>
      </w:hyperlink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. Before approving an application, the commission shall consider any public comments made regarding the application.</w:t>
      </w:r>
    </w:p>
    <w:p w14:paraId="10F4CEA4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 (3)</w:t>
      </w:r>
      <w:r w:rsidRPr="002D0146">
        <w:rPr>
          <w:rFonts w:ascii="Helvetica" w:eastAsia="Times New Roman" w:hAnsi="Helvetica" w:cs="Times New Roman"/>
          <w:b/>
          <w:bCs/>
          <w:color w:val="000000"/>
          <w:sz w:val="22"/>
          <w:szCs w:val="22"/>
        </w:rPr>
        <w:t> 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A political subdivision may not be certified as a Telecommuter Forward! community under sub. </w:t>
      </w:r>
      <w:hyperlink r:id="rId5" w:tooltip="Statutes 196.5045(2)" w:history="1">
        <w:r w:rsidRPr="002D0146">
          <w:rPr>
            <w:rFonts w:ascii="Times" w:eastAsia="Times New Roman" w:hAnsi="Times" w:cs="Times New Roman"/>
            <w:color w:val="426986"/>
            <w:sz w:val="22"/>
            <w:szCs w:val="22"/>
            <w:u w:val="single"/>
          </w:rPr>
          <w:t>(2)</w:t>
        </w:r>
      </w:hyperlink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unless the political subdivision adopts a resolution that does all of the following:</w:t>
      </w:r>
    </w:p>
    <w:p w14:paraId="1AA8357C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(a)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States the political subdivision's support and commitment to promote the availability of telecommuting options.</w:t>
      </w:r>
    </w:p>
    <w:p w14:paraId="42188999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(b)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 xml:space="preserve"> Provides for a single point of contact for coordinating telecommuting opportunities that has </w:t>
      </w:r>
      <w:proofErr w:type="gramStart"/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all of</w:t>
      </w:r>
      <w:proofErr w:type="gramEnd"/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 xml:space="preserve"> the following responsibilities:</w:t>
      </w:r>
    </w:p>
    <w:p w14:paraId="42638B39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1.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Coordination and partnership with broadband providers, realtors, economic development professionals, employers, employees, and other telecommuting stakeholders.</w:t>
      </w:r>
    </w:p>
    <w:p w14:paraId="7FE0DEF9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2.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Collaboration with broadband providers and employers to identify, develop, and market telecommuter-capable broadband packages.</w:t>
      </w:r>
    </w:p>
    <w:p w14:paraId="70D6EB6B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3.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Communication and partnership with broadband providers and economic development professionals to develop common goals.</w:t>
      </w:r>
    </w:p>
    <w:p w14:paraId="0012568B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4.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Promotion of telecommuter-friendly workspaces, such as business incubators with telecommuting spaces, if such a workspace has been established in the political subdivision at the time the political subdivision adopts the resolution.</w:t>
      </w:r>
    </w:p>
    <w:p w14:paraId="5A8ED0E9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5.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Familiarity with broadband mapping tools and other state-level resources.</w:t>
      </w:r>
    </w:p>
    <w:p w14:paraId="33F16040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6.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Maintaining regular communication with the state broadband office.</w:t>
      </w:r>
    </w:p>
    <w:p w14:paraId="4E06440D" w14:textId="77777777" w:rsidR="002D0146" w:rsidRPr="002D0146" w:rsidRDefault="002D0146" w:rsidP="002D0146">
      <w:pPr>
        <w:ind w:hanging="480"/>
        <w:rPr>
          <w:rFonts w:ascii="Times" w:eastAsia="Times New Roman" w:hAnsi="Times" w:cs="Times New Roman"/>
          <w:color w:val="000000"/>
          <w:sz w:val="22"/>
          <w:szCs w:val="22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22"/>
          <w:szCs w:val="22"/>
        </w:rPr>
        <w:t>7.</w:t>
      </w:r>
      <w:r w:rsidRPr="002D0146">
        <w:rPr>
          <w:rFonts w:ascii="Times" w:eastAsia="Times New Roman" w:hAnsi="Times" w:cs="Times New Roman"/>
          <w:color w:val="000000"/>
          <w:sz w:val="22"/>
          <w:szCs w:val="22"/>
        </w:rPr>
        <w:t> Making regular reports to the governing body of the political subdivision.</w:t>
      </w:r>
    </w:p>
    <w:p w14:paraId="616D8787" w14:textId="77777777" w:rsidR="002D0146" w:rsidRPr="002D0146" w:rsidRDefault="002D0146" w:rsidP="002D0146">
      <w:pPr>
        <w:ind w:hanging="216"/>
        <w:rPr>
          <w:rFonts w:ascii="Times" w:eastAsia="Times New Roman" w:hAnsi="Times" w:cs="Times New Roman"/>
          <w:color w:val="000000"/>
          <w:sz w:val="18"/>
          <w:szCs w:val="18"/>
        </w:rPr>
      </w:pPr>
      <w:r w:rsidRPr="002D0146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History: </w:t>
      </w:r>
      <w:hyperlink r:id="rId6" w:tooltip="2017 Acts 342" w:history="1">
        <w:r w:rsidRPr="002D0146">
          <w:rPr>
            <w:rFonts w:ascii="Times" w:eastAsia="Times New Roman" w:hAnsi="Times" w:cs="Times New Roman"/>
            <w:color w:val="426986"/>
            <w:sz w:val="18"/>
            <w:szCs w:val="18"/>
            <w:u w:val="single"/>
          </w:rPr>
          <w:t>2017 a. 342</w:t>
        </w:r>
      </w:hyperlink>
      <w:r w:rsidRPr="002D0146">
        <w:rPr>
          <w:rFonts w:ascii="Times" w:eastAsia="Times New Roman" w:hAnsi="Times" w:cs="Times New Roman"/>
          <w:color w:val="000000"/>
          <w:sz w:val="18"/>
          <w:szCs w:val="18"/>
        </w:rPr>
        <w:t>.</w:t>
      </w:r>
    </w:p>
    <w:p w14:paraId="42511647" w14:textId="77777777" w:rsidR="002D0146" w:rsidRDefault="002D0146"/>
    <w:sectPr w:rsidR="002D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46"/>
    <w:rsid w:val="002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F61F6"/>
  <w15:chartTrackingRefBased/>
  <w15:docId w15:val="{6D5F6B51-6CDB-0E46-A825-63F444D3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snumsectnum">
    <w:name w:val="qs_num_sectnum_"/>
    <w:basedOn w:val="DefaultParagraphFont"/>
    <w:rsid w:val="002D0146"/>
  </w:style>
  <w:style w:type="character" w:customStyle="1" w:styleId="qstitlesection">
    <w:name w:val="qs_title_section_"/>
    <w:basedOn w:val="DefaultParagraphFont"/>
    <w:rsid w:val="002D0146"/>
  </w:style>
  <w:style w:type="character" w:customStyle="1" w:styleId="apple-converted-space">
    <w:name w:val="apple-converted-space"/>
    <w:basedOn w:val="DefaultParagraphFont"/>
    <w:rsid w:val="002D0146"/>
  </w:style>
  <w:style w:type="character" w:customStyle="1" w:styleId="qsnumsubsecnum">
    <w:name w:val="qs_num_subsecnum_"/>
    <w:basedOn w:val="DefaultParagraphFont"/>
    <w:rsid w:val="002D0146"/>
  </w:style>
  <w:style w:type="character" w:styleId="Hyperlink">
    <w:name w:val="Hyperlink"/>
    <w:basedOn w:val="DefaultParagraphFont"/>
    <w:uiPriority w:val="99"/>
    <w:semiHidden/>
    <w:unhideWhenUsed/>
    <w:rsid w:val="002D0146"/>
    <w:rPr>
      <w:color w:val="0000FF"/>
      <w:u w:val="single"/>
    </w:rPr>
  </w:style>
  <w:style w:type="character" w:customStyle="1" w:styleId="qsnumparanum">
    <w:name w:val="qs_num_paranum_"/>
    <w:basedOn w:val="DefaultParagraphFont"/>
    <w:rsid w:val="002D0146"/>
  </w:style>
  <w:style w:type="character" w:customStyle="1" w:styleId="qsnumsubdnum">
    <w:name w:val="qs_num_subdnum_"/>
    <w:basedOn w:val="DefaultParagraphFont"/>
    <w:rsid w:val="002D0146"/>
  </w:style>
  <w:style w:type="character" w:customStyle="1" w:styleId="qsnotehistory">
    <w:name w:val="qs___note_history_"/>
    <w:basedOn w:val="DefaultParagraphFont"/>
    <w:rsid w:val="002D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2771">
          <w:marLeft w:val="0"/>
          <w:marRight w:val="0"/>
          <w:marTop w:val="245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33120864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738089718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656156693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899289012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0642044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643074490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616373186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829635729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8075208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85155755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183323841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986274552">
          <w:marLeft w:val="0"/>
          <w:marRight w:val="0"/>
          <w:marTop w:val="43"/>
          <w:marBottom w:val="43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213078637">
          <w:marLeft w:val="1296"/>
          <w:marRight w:val="0"/>
          <w:marTop w:val="14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legis.wisconsin.gov/document/acts/2017/342" TargetMode="External"/><Relationship Id="rId5" Type="http://schemas.openxmlformats.org/officeDocument/2006/relationships/hyperlink" Target="https://docs.legis.wisconsin.gov/document/statutes/196.5045(2)" TargetMode="External"/><Relationship Id="rId4" Type="http://schemas.openxmlformats.org/officeDocument/2006/relationships/hyperlink" Target="https://docs.legis.wisconsin.gov/document/statutes/196.5045(3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moore</dc:creator>
  <cp:keywords/>
  <dc:description/>
  <cp:lastModifiedBy>tom moore</cp:lastModifiedBy>
  <cp:revision>1</cp:revision>
  <dcterms:created xsi:type="dcterms:W3CDTF">2021-09-20T20:05:00Z</dcterms:created>
  <dcterms:modified xsi:type="dcterms:W3CDTF">2021-09-20T20:06:00Z</dcterms:modified>
</cp:coreProperties>
</file>