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CA9E2" w14:textId="7432DF6F" w:rsidR="001B4101" w:rsidRPr="00613840" w:rsidRDefault="001B4101" w:rsidP="001B4101">
      <w:pPr>
        <w:ind w:hanging="480"/>
        <w:rPr>
          <w:rFonts w:ascii="Times" w:eastAsia="Times New Roman" w:hAnsi="Times" w:cs="Times New Roman"/>
          <w:color w:val="000000"/>
          <w:sz w:val="22"/>
          <w:szCs w:val="22"/>
        </w:rPr>
      </w:pPr>
      <w:r w:rsidRPr="00613840">
        <w:rPr>
          <w:rFonts w:ascii="Helvetica" w:eastAsia="Times New Roman" w:hAnsi="Helvetica" w:cs="Times New Roman"/>
          <w:b/>
          <w:bCs/>
          <w:color w:val="000000"/>
          <w:sz w:val="22"/>
          <w:szCs w:val="22"/>
        </w:rPr>
        <w:t>196.504</w:t>
      </w:r>
      <w:r>
        <w:rPr>
          <w:rFonts w:ascii="Helvetica" w:eastAsia="Times New Roman" w:hAnsi="Helvetica" w:cs="Times New Roman"/>
          <w:b/>
          <w:bCs/>
          <w:color w:val="000000"/>
          <w:sz w:val="22"/>
          <w:szCs w:val="22"/>
        </w:rPr>
        <w:t xml:space="preserve"> Broadband Forward! community</w:t>
      </w:r>
    </w:p>
    <w:p w14:paraId="27EE1A18" w14:textId="77777777" w:rsidR="001B4101" w:rsidRPr="00613840" w:rsidRDefault="001B4101" w:rsidP="001B4101">
      <w:pPr>
        <w:ind w:hanging="480"/>
        <w:rPr>
          <w:rFonts w:ascii="Times" w:eastAsia="Times New Roman" w:hAnsi="Times" w:cs="Times New Roman"/>
          <w:color w:val="000000"/>
          <w:sz w:val="22"/>
          <w:szCs w:val="22"/>
        </w:rPr>
      </w:pPr>
      <w:r w:rsidRPr="00613840">
        <w:rPr>
          <w:rFonts w:ascii="Helvetica" w:eastAsia="Times New Roman" w:hAnsi="Helvetica" w:cs="Times New Roman"/>
          <w:b/>
          <w:bCs/>
          <w:color w:val="000000"/>
          <w:sz w:val="22"/>
          <w:szCs w:val="22"/>
        </w:rPr>
        <w:t> (4)</w:t>
      </w:r>
      <w:r w:rsidRPr="00613840">
        <w:rPr>
          <w:rFonts w:ascii="Helvetica" w:eastAsia="Times New Roman" w:hAnsi="Helvetica" w:cs="Times New Roman"/>
          <w:b/>
          <w:bCs/>
          <w:color w:val="000000"/>
          <w:sz w:val="22"/>
          <w:szCs w:val="22"/>
        </w:rPr>
        <w:t> </w:t>
      </w:r>
      <w:r w:rsidRPr="00613840">
        <w:rPr>
          <w:rFonts w:ascii="Times" w:eastAsia="Times New Roman" w:hAnsi="Times" w:cs="Times New Roman"/>
          <w:color w:val="000000"/>
          <w:sz w:val="22"/>
          <w:szCs w:val="22"/>
        </w:rPr>
        <w:t>A political subdivision may apply to the commission for certification as a Broadband Forward! community. The commission shall prescribe the form and manner for making an application. The commission shall prescribe a process for public notice and comment on an application for a period of at least 30 days after the application is received, except that the process does not apply to an application by a political subdivision that enacts a model ordinance developed under sub. </w:t>
      </w:r>
      <w:hyperlink r:id="rId4" w:tooltip="Statutes 196.504(9)(a)" w:history="1">
        <w:r w:rsidRPr="00613840">
          <w:rPr>
            <w:rFonts w:ascii="Times" w:eastAsia="Times New Roman" w:hAnsi="Times" w:cs="Times New Roman"/>
            <w:color w:val="426986"/>
            <w:sz w:val="22"/>
            <w:szCs w:val="22"/>
            <w:u w:val="single"/>
          </w:rPr>
          <w:t>(9) (a)</w:t>
        </w:r>
      </w:hyperlink>
      <w:r w:rsidRPr="00613840">
        <w:rPr>
          <w:rFonts w:ascii="Times" w:eastAsia="Times New Roman" w:hAnsi="Times" w:cs="Times New Roman"/>
          <w:color w:val="000000"/>
          <w:sz w:val="22"/>
          <w:szCs w:val="22"/>
        </w:rPr>
        <w:t> or submits a written statement under sub. </w:t>
      </w:r>
      <w:hyperlink r:id="rId5" w:tooltip="Statutes 196.504(9)(b)" w:history="1">
        <w:r w:rsidRPr="00613840">
          <w:rPr>
            <w:rFonts w:ascii="Times" w:eastAsia="Times New Roman" w:hAnsi="Times" w:cs="Times New Roman"/>
            <w:color w:val="426986"/>
            <w:sz w:val="22"/>
            <w:szCs w:val="22"/>
            <w:u w:val="single"/>
          </w:rPr>
          <w:t>(9) (b)</w:t>
        </w:r>
      </w:hyperlink>
      <w:r w:rsidRPr="00613840">
        <w:rPr>
          <w:rFonts w:ascii="Times" w:eastAsia="Times New Roman" w:hAnsi="Times" w:cs="Times New Roman"/>
          <w:color w:val="000000"/>
          <w:sz w:val="22"/>
          <w:szCs w:val="22"/>
        </w:rPr>
        <w:t>. The commission shall approve an application and certify a political subdivision as a Broadband Forward! community if the commission determines that the political subdivision has enacted an ordinance that complies with sub. </w:t>
      </w:r>
      <w:hyperlink r:id="rId6" w:tooltip="Statutes 196.504(5)" w:history="1">
        <w:r w:rsidRPr="00613840">
          <w:rPr>
            <w:rFonts w:ascii="Times" w:eastAsia="Times New Roman" w:hAnsi="Times" w:cs="Times New Roman"/>
            <w:color w:val="426986"/>
            <w:sz w:val="22"/>
            <w:szCs w:val="22"/>
            <w:u w:val="single"/>
          </w:rPr>
          <w:t>(5)</w:t>
        </w:r>
      </w:hyperlink>
      <w:r w:rsidRPr="00613840">
        <w:rPr>
          <w:rFonts w:ascii="Times" w:eastAsia="Times New Roman" w:hAnsi="Times" w:cs="Times New Roman"/>
          <w:color w:val="000000"/>
          <w:sz w:val="22"/>
          <w:szCs w:val="22"/>
        </w:rPr>
        <w:t>. If the process for public notice and comment applies to an application, the commission shall, before approving the application, consider any public comments made regarding the application.</w:t>
      </w:r>
    </w:p>
    <w:p w14:paraId="746BE022" w14:textId="77777777" w:rsidR="001B4101" w:rsidRPr="00613840" w:rsidRDefault="001B4101" w:rsidP="001B4101">
      <w:pPr>
        <w:ind w:hanging="480"/>
        <w:rPr>
          <w:rFonts w:ascii="Times" w:eastAsia="Times New Roman" w:hAnsi="Times" w:cs="Times New Roman"/>
          <w:color w:val="000000"/>
          <w:sz w:val="22"/>
          <w:szCs w:val="22"/>
        </w:rPr>
      </w:pPr>
      <w:r w:rsidRPr="00613840">
        <w:rPr>
          <w:rFonts w:ascii="Helvetica" w:eastAsia="Times New Roman" w:hAnsi="Helvetica" w:cs="Times New Roman"/>
          <w:b/>
          <w:bCs/>
          <w:color w:val="000000"/>
          <w:sz w:val="22"/>
          <w:szCs w:val="22"/>
        </w:rPr>
        <w:t> (5)</w:t>
      </w:r>
      <w:r w:rsidRPr="00613840">
        <w:rPr>
          <w:rFonts w:ascii="Helvetica" w:eastAsia="Times New Roman" w:hAnsi="Helvetica" w:cs="Times New Roman"/>
          <w:b/>
          <w:bCs/>
          <w:color w:val="000000"/>
          <w:sz w:val="22"/>
          <w:szCs w:val="22"/>
        </w:rPr>
        <w:t> </w:t>
      </w:r>
      <w:r w:rsidRPr="00613840">
        <w:rPr>
          <w:rFonts w:ascii="Times" w:eastAsia="Times New Roman" w:hAnsi="Times" w:cs="Times New Roman"/>
          <w:color w:val="000000"/>
          <w:sz w:val="22"/>
          <w:szCs w:val="22"/>
        </w:rPr>
        <w:t>A political subdivision may not be certified as a Broadband Forward! community under sub. </w:t>
      </w:r>
      <w:hyperlink r:id="rId7" w:tooltip="Statutes 196.504(4)" w:history="1">
        <w:r w:rsidRPr="00613840">
          <w:rPr>
            <w:rFonts w:ascii="Times" w:eastAsia="Times New Roman" w:hAnsi="Times" w:cs="Times New Roman"/>
            <w:color w:val="426986"/>
            <w:sz w:val="22"/>
            <w:szCs w:val="22"/>
            <w:u w:val="single"/>
          </w:rPr>
          <w:t>(4)</w:t>
        </w:r>
      </w:hyperlink>
      <w:r w:rsidRPr="00613840">
        <w:rPr>
          <w:rFonts w:ascii="Times" w:eastAsia="Times New Roman" w:hAnsi="Times" w:cs="Times New Roman"/>
          <w:color w:val="000000"/>
          <w:sz w:val="22"/>
          <w:szCs w:val="22"/>
        </w:rPr>
        <w:t> unless the political subdivision enacts an ordinance for reviewing applications and issuing permits related to broadband network projects that provides for all of the following:</w:t>
      </w:r>
    </w:p>
    <w:p w14:paraId="69827B40" w14:textId="77777777" w:rsidR="001B4101" w:rsidRPr="00613840" w:rsidRDefault="001B4101" w:rsidP="001B4101">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t>(a)</w:t>
      </w:r>
      <w:r w:rsidRPr="00613840">
        <w:rPr>
          <w:rFonts w:ascii="Times" w:eastAsia="Times New Roman" w:hAnsi="Times" w:cs="Times New Roman"/>
          <w:color w:val="000000"/>
          <w:sz w:val="22"/>
          <w:szCs w:val="22"/>
        </w:rPr>
        <w:t> Appointing a single point of contact for all matters related to a broadband network project.</w:t>
      </w:r>
    </w:p>
    <w:p w14:paraId="4DBF2CAD" w14:textId="77777777" w:rsidR="001B4101" w:rsidRPr="00613840" w:rsidRDefault="001B4101" w:rsidP="001B4101">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t>(b)</w:t>
      </w:r>
      <w:r w:rsidRPr="00613840">
        <w:rPr>
          <w:rFonts w:ascii="Times" w:eastAsia="Times New Roman" w:hAnsi="Times" w:cs="Times New Roman"/>
          <w:color w:val="000000"/>
          <w:sz w:val="22"/>
          <w:szCs w:val="22"/>
        </w:rPr>
        <w:t> Requiring the political subdivision to determine whether an application is complete and notifying the applicant about the determination in writing within 10 days of receiving the application.</w:t>
      </w:r>
    </w:p>
    <w:p w14:paraId="3A21CE4D" w14:textId="77777777" w:rsidR="001B4101" w:rsidRPr="00613840" w:rsidRDefault="001B4101" w:rsidP="001B4101">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t>(c)</w:t>
      </w:r>
      <w:r w:rsidRPr="00613840">
        <w:rPr>
          <w:rFonts w:ascii="Times" w:eastAsia="Times New Roman" w:hAnsi="Times" w:cs="Times New Roman"/>
          <w:color w:val="000000"/>
          <w:sz w:val="22"/>
          <w:szCs w:val="22"/>
        </w:rPr>
        <w:t> If the political subdivision does not believe that an application is complete, requiring the written notification under par. </w:t>
      </w:r>
      <w:hyperlink r:id="rId8" w:tooltip="Statutes 196.504(5)(b)" w:history="1">
        <w:r w:rsidRPr="00613840">
          <w:rPr>
            <w:rFonts w:ascii="Times" w:eastAsia="Times New Roman" w:hAnsi="Times" w:cs="Times New Roman"/>
            <w:color w:val="426986"/>
            <w:sz w:val="22"/>
            <w:szCs w:val="22"/>
            <w:u w:val="single"/>
          </w:rPr>
          <w:t>(b)</w:t>
        </w:r>
      </w:hyperlink>
      <w:r w:rsidRPr="00613840">
        <w:rPr>
          <w:rFonts w:ascii="Times" w:eastAsia="Times New Roman" w:hAnsi="Times" w:cs="Times New Roman"/>
          <w:color w:val="000000"/>
          <w:sz w:val="22"/>
          <w:szCs w:val="22"/>
        </w:rPr>
        <w:t> to specify in detail the required information that is incomplete.</w:t>
      </w:r>
    </w:p>
    <w:p w14:paraId="3DF43790" w14:textId="77777777" w:rsidR="001B4101" w:rsidRPr="00613840" w:rsidRDefault="001B4101" w:rsidP="001B4101">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t>(d)</w:t>
      </w:r>
      <w:r w:rsidRPr="00613840">
        <w:rPr>
          <w:rFonts w:ascii="Times" w:eastAsia="Times New Roman" w:hAnsi="Times" w:cs="Times New Roman"/>
          <w:color w:val="000000"/>
          <w:sz w:val="22"/>
          <w:szCs w:val="22"/>
        </w:rPr>
        <w:t> If the political subdivision does not make the written notification required under par. </w:t>
      </w:r>
      <w:hyperlink r:id="rId9" w:tooltip="Statutes 196.504(5)(b)" w:history="1">
        <w:r w:rsidRPr="00613840">
          <w:rPr>
            <w:rFonts w:ascii="Times" w:eastAsia="Times New Roman" w:hAnsi="Times" w:cs="Times New Roman"/>
            <w:color w:val="426986"/>
            <w:sz w:val="22"/>
            <w:szCs w:val="22"/>
            <w:u w:val="single"/>
          </w:rPr>
          <w:t>(b)</w:t>
        </w:r>
      </w:hyperlink>
      <w:r w:rsidRPr="00613840">
        <w:rPr>
          <w:rFonts w:ascii="Times" w:eastAsia="Times New Roman" w:hAnsi="Times" w:cs="Times New Roman"/>
          <w:color w:val="000000"/>
          <w:sz w:val="22"/>
          <w:szCs w:val="22"/>
        </w:rPr>
        <w:t>, requiring the political subdivision to consider an application to be complete.</w:t>
      </w:r>
    </w:p>
    <w:p w14:paraId="5D04761D" w14:textId="77777777" w:rsidR="001B4101" w:rsidRPr="00613840" w:rsidRDefault="001B4101" w:rsidP="001B4101">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t>(e)</w:t>
      </w:r>
      <w:r w:rsidRPr="00613840">
        <w:rPr>
          <w:rFonts w:ascii="Times" w:eastAsia="Times New Roman" w:hAnsi="Times" w:cs="Times New Roman"/>
          <w:color w:val="000000"/>
          <w:sz w:val="22"/>
          <w:szCs w:val="22"/>
        </w:rPr>
        <w:t> Allowing an applicant to resubmit an application as often as necessary until the application is complete.</w:t>
      </w:r>
    </w:p>
    <w:p w14:paraId="0F341878" w14:textId="77777777" w:rsidR="001B4101" w:rsidRPr="00613840" w:rsidRDefault="001B4101" w:rsidP="001B4101">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t>(f)</w:t>
      </w:r>
      <w:r w:rsidRPr="00613840">
        <w:rPr>
          <w:rFonts w:ascii="Times" w:eastAsia="Times New Roman" w:hAnsi="Times" w:cs="Times New Roman"/>
          <w:color w:val="000000"/>
          <w:sz w:val="22"/>
          <w:szCs w:val="22"/>
        </w:rPr>
        <w:t> Within 60 days of receiving an application that is complete, requiring the political subdivision to approve or deny the application and provide the applicant written notification of the approval or denial.</w:t>
      </w:r>
    </w:p>
    <w:p w14:paraId="5C9B7694" w14:textId="77777777" w:rsidR="001B4101" w:rsidRPr="00613840" w:rsidRDefault="001B4101" w:rsidP="001B4101">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t>(g)</w:t>
      </w:r>
      <w:r w:rsidRPr="00613840">
        <w:rPr>
          <w:rFonts w:ascii="Times" w:eastAsia="Times New Roman" w:hAnsi="Times" w:cs="Times New Roman"/>
          <w:color w:val="000000"/>
          <w:sz w:val="22"/>
          <w:szCs w:val="22"/>
        </w:rPr>
        <w:t> If the political subdivision denies an application, requiring the political subdivision to include in the written notification under par. </w:t>
      </w:r>
      <w:hyperlink r:id="rId10" w:tooltip="Statutes 196.504(5)(f)" w:history="1">
        <w:r w:rsidRPr="00613840">
          <w:rPr>
            <w:rFonts w:ascii="Times" w:eastAsia="Times New Roman" w:hAnsi="Times" w:cs="Times New Roman"/>
            <w:color w:val="426986"/>
            <w:sz w:val="22"/>
            <w:szCs w:val="22"/>
            <w:u w:val="single"/>
          </w:rPr>
          <w:t>(f)</w:t>
        </w:r>
      </w:hyperlink>
      <w:r w:rsidRPr="00613840">
        <w:rPr>
          <w:rFonts w:ascii="Times" w:eastAsia="Times New Roman" w:hAnsi="Times" w:cs="Times New Roman"/>
          <w:color w:val="000000"/>
          <w:sz w:val="22"/>
          <w:szCs w:val="22"/>
        </w:rPr>
        <w:t> evidence that the denial is not arbitrary and capricious.</w:t>
      </w:r>
    </w:p>
    <w:p w14:paraId="5320F471" w14:textId="77777777" w:rsidR="001B4101" w:rsidRPr="00613840" w:rsidRDefault="001B4101" w:rsidP="001B4101">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t>(h)</w:t>
      </w:r>
      <w:r w:rsidRPr="00613840">
        <w:rPr>
          <w:rFonts w:ascii="Times" w:eastAsia="Times New Roman" w:hAnsi="Times" w:cs="Times New Roman"/>
          <w:color w:val="000000"/>
          <w:sz w:val="22"/>
          <w:szCs w:val="22"/>
        </w:rPr>
        <w:t> Requiring that an application is considered approved and any required permit is issued if the political subdivision does not provide the written notification under par. </w:t>
      </w:r>
      <w:hyperlink r:id="rId11" w:tooltip="Statutes 196.504(5)(f)" w:history="1">
        <w:r w:rsidRPr="00613840">
          <w:rPr>
            <w:rFonts w:ascii="Times" w:eastAsia="Times New Roman" w:hAnsi="Times" w:cs="Times New Roman"/>
            <w:color w:val="426986"/>
            <w:sz w:val="22"/>
            <w:szCs w:val="22"/>
            <w:u w:val="single"/>
          </w:rPr>
          <w:t>(f)</w:t>
        </w:r>
      </w:hyperlink>
      <w:r w:rsidRPr="00613840">
        <w:rPr>
          <w:rFonts w:ascii="Times" w:eastAsia="Times New Roman" w:hAnsi="Times" w:cs="Times New Roman"/>
          <w:color w:val="000000"/>
          <w:sz w:val="22"/>
          <w:szCs w:val="22"/>
        </w:rPr>
        <w:t>.</w:t>
      </w:r>
    </w:p>
    <w:p w14:paraId="324E6360" w14:textId="77777777" w:rsidR="001B4101" w:rsidRPr="00613840" w:rsidRDefault="001B4101" w:rsidP="001B4101">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t>(</w:t>
      </w:r>
      <w:proofErr w:type="spellStart"/>
      <w:r w:rsidRPr="00613840">
        <w:rPr>
          <w:rFonts w:ascii="Times" w:eastAsia="Times New Roman" w:hAnsi="Times" w:cs="Times New Roman"/>
          <w:b/>
          <w:bCs/>
          <w:color w:val="000000"/>
          <w:sz w:val="22"/>
          <w:szCs w:val="22"/>
        </w:rPr>
        <w:t>i</w:t>
      </w:r>
      <w:proofErr w:type="spellEnd"/>
      <w:r w:rsidRPr="00613840">
        <w:rPr>
          <w:rFonts w:ascii="Times" w:eastAsia="Times New Roman" w:hAnsi="Times" w:cs="Times New Roman"/>
          <w:b/>
          <w:bCs/>
          <w:color w:val="000000"/>
          <w:sz w:val="22"/>
          <w:szCs w:val="22"/>
        </w:rPr>
        <w:t>)</w:t>
      </w:r>
      <w:r w:rsidRPr="00613840">
        <w:rPr>
          <w:rFonts w:ascii="Times" w:eastAsia="Times New Roman" w:hAnsi="Times" w:cs="Times New Roman"/>
          <w:color w:val="000000"/>
          <w:sz w:val="22"/>
          <w:szCs w:val="22"/>
        </w:rPr>
        <w:t> Providing that any fee imposed by the political subdivision to review an application, issue a permit, or perform any other activity related to a broadband network project is reasonable.</w:t>
      </w:r>
    </w:p>
    <w:p w14:paraId="044728EE" w14:textId="77777777" w:rsidR="001B4101" w:rsidRPr="00613840" w:rsidRDefault="001B4101" w:rsidP="001B4101">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t>(k)</w:t>
      </w:r>
      <w:r w:rsidRPr="00613840">
        <w:rPr>
          <w:rFonts w:ascii="Times" w:eastAsia="Times New Roman" w:hAnsi="Times" w:cs="Times New Roman"/>
          <w:color w:val="000000"/>
          <w:sz w:val="22"/>
          <w:szCs w:val="22"/>
        </w:rPr>
        <w:t> Allowing all forms, applications, and documentation related to a broadband network project to be filed and signed by electronic or another means authorized by the commission.</w:t>
      </w:r>
    </w:p>
    <w:p w14:paraId="38F9D7C7" w14:textId="77777777" w:rsidR="001B4101" w:rsidRPr="00613840" w:rsidRDefault="001B4101" w:rsidP="001B4101">
      <w:pPr>
        <w:ind w:hanging="480"/>
        <w:rPr>
          <w:rFonts w:ascii="Times" w:eastAsia="Times New Roman" w:hAnsi="Times" w:cs="Times New Roman"/>
          <w:color w:val="000000"/>
          <w:sz w:val="22"/>
          <w:szCs w:val="22"/>
        </w:rPr>
      </w:pPr>
      <w:r w:rsidRPr="00613840">
        <w:rPr>
          <w:rFonts w:ascii="Helvetica" w:eastAsia="Times New Roman" w:hAnsi="Helvetica" w:cs="Times New Roman"/>
          <w:b/>
          <w:bCs/>
          <w:color w:val="000000"/>
          <w:sz w:val="22"/>
          <w:szCs w:val="22"/>
        </w:rPr>
        <w:t> (6)</w:t>
      </w:r>
      <w:r w:rsidRPr="00613840">
        <w:rPr>
          <w:rFonts w:ascii="Helvetica" w:eastAsia="Times New Roman" w:hAnsi="Helvetica" w:cs="Times New Roman"/>
          <w:b/>
          <w:bCs/>
          <w:color w:val="000000"/>
          <w:sz w:val="22"/>
          <w:szCs w:val="22"/>
        </w:rPr>
        <w:t> </w:t>
      </w:r>
      <w:r w:rsidRPr="00613840">
        <w:rPr>
          <w:rFonts w:ascii="Times" w:eastAsia="Times New Roman" w:hAnsi="Times" w:cs="Times New Roman"/>
          <w:color w:val="000000"/>
          <w:sz w:val="22"/>
          <w:szCs w:val="22"/>
        </w:rPr>
        <w:t>A political subdivision that the commission has certified as a Broadband Forward! community under sub. </w:t>
      </w:r>
      <w:hyperlink r:id="rId12" w:tooltip="Statutes 196.504(4)" w:history="1">
        <w:r w:rsidRPr="00613840">
          <w:rPr>
            <w:rFonts w:ascii="Times" w:eastAsia="Times New Roman" w:hAnsi="Times" w:cs="Times New Roman"/>
            <w:color w:val="426986"/>
            <w:sz w:val="22"/>
            <w:szCs w:val="22"/>
            <w:u w:val="single"/>
          </w:rPr>
          <w:t>(4)</w:t>
        </w:r>
      </w:hyperlink>
      <w:r w:rsidRPr="00613840">
        <w:rPr>
          <w:rFonts w:ascii="Times" w:eastAsia="Times New Roman" w:hAnsi="Times" w:cs="Times New Roman"/>
          <w:color w:val="000000"/>
          <w:sz w:val="22"/>
          <w:szCs w:val="22"/>
        </w:rPr>
        <w:t> may not do any of the following:</w:t>
      </w:r>
    </w:p>
    <w:p w14:paraId="63D7B24D" w14:textId="77777777" w:rsidR="001B4101" w:rsidRPr="00613840" w:rsidRDefault="001B4101" w:rsidP="001B4101">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t>(a)</w:t>
      </w:r>
      <w:r w:rsidRPr="00613840">
        <w:rPr>
          <w:rFonts w:ascii="Times" w:eastAsia="Times New Roman" w:hAnsi="Times" w:cs="Times New Roman"/>
          <w:color w:val="000000"/>
          <w:sz w:val="22"/>
          <w:szCs w:val="22"/>
        </w:rPr>
        <w:t> Require an applicant to designate a final contractor to complete a broadband network project.</w:t>
      </w:r>
    </w:p>
    <w:p w14:paraId="64E018F9" w14:textId="77777777" w:rsidR="001B4101" w:rsidRPr="00613840" w:rsidRDefault="001B4101" w:rsidP="001B4101">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t>(b)</w:t>
      </w:r>
      <w:r w:rsidRPr="00613840">
        <w:rPr>
          <w:rFonts w:ascii="Times" w:eastAsia="Times New Roman" w:hAnsi="Times" w:cs="Times New Roman"/>
          <w:color w:val="000000"/>
          <w:sz w:val="22"/>
          <w:szCs w:val="22"/>
        </w:rPr>
        <w:t> Impose an unreasonable fee to review an application or issue a permit for a broadband network project application. Any application fee that exceeds $100 is considered unreasonable.</w:t>
      </w:r>
    </w:p>
    <w:p w14:paraId="042B02F8" w14:textId="77777777" w:rsidR="001B4101" w:rsidRPr="00613840" w:rsidRDefault="001B4101" w:rsidP="001B4101">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t>(c)</w:t>
      </w:r>
      <w:r w:rsidRPr="00613840">
        <w:rPr>
          <w:rFonts w:ascii="Times" w:eastAsia="Times New Roman" w:hAnsi="Times" w:cs="Times New Roman"/>
          <w:color w:val="000000"/>
          <w:sz w:val="22"/>
          <w:szCs w:val="22"/>
        </w:rPr>
        <w:t> Impose a moratorium of any kind on the approval of applications and issuance of permits for broadband network projects or on construction related to broadband network projects.</w:t>
      </w:r>
    </w:p>
    <w:p w14:paraId="011D96E6" w14:textId="77777777" w:rsidR="001B4101" w:rsidRPr="00613840" w:rsidRDefault="001B4101" w:rsidP="001B4101">
      <w:pPr>
        <w:ind w:hanging="480"/>
        <w:rPr>
          <w:rFonts w:ascii="Times" w:eastAsia="Times New Roman" w:hAnsi="Times" w:cs="Times New Roman"/>
          <w:color w:val="000000"/>
          <w:sz w:val="22"/>
          <w:szCs w:val="22"/>
        </w:rPr>
      </w:pPr>
      <w:r w:rsidRPr="00613840">
        <w:rPr>
          <w:rFonts w:ascii="Times" w:eastAsia="Times New Roman" w:hAnsi="Times" w:cs="Times New Roman"/>
          <w:b/>
          <w:bCs/>
          <w:color w:val="000000"/>
          <w:sz w:val="22"/>
          <w:szCs w:val="22"/>
        </w:rPr>
        <w:t>(d)</w:t>
      </w:r>
      <w:r w:rsidRPr="00613840">
        <w:rPr>
          <w:rFonts w:ascii="Times" w:eastAsia="Times New Roman" w:hAnsi="Times" w:cs="Times New Roman"/>
          <w:color w:val="000000"/>
          <w:sz w:val="22"/>
          <w:szCs w:val="22"/>
        </w:rPr>
        <w:t> Discriminate among providers of telecommunications service, as defined in s. </w:t>
      </w:r>
      <w:hyperlink r:id="rId13" w:tooltip="Statutes 182.017(1g)(cq)" w:history="1">
        <w:r w:rsidRPr="00613840">
          <w:rPr>
            <w:rFonts w:ascii="Times" w:eastAsia="Times New Roman" w:hAnsi="Times" w:cs="Times New Roman"/>
            <w:color w:val="426986"/>
            <w:sz w:val="22"/>
            <w:szCs w:val="22"/>
            <w:u w:val="single"/>
          </w:rPr>
          <w:t>182.017 (1g) (</w:t>
        </w:r>
        <w:proofErr w:type="spellStart"/>
        <w:r w:rsidRPr="00613840">
          <w:rPr>
            <w:rFonts w:ascii="Times" w:eastAsia="Times New Roman" w:hAnsi="Times" w:cs="Times New Roman"/>
            <w:color w:val="426986"/>
            <w:sz w:val="22"/>
            <w:szCs w:val="22"/>
            <w:u w:val="single"/>
          </w:rPr>
          <w:t>cq</w:t>
        </w:r>
        <w:proofErr w:type="spellEnd"/>
        <w:r w:rsidRPr="00613840">
          <w:rPr>
            <w:rFonts w:ascii="Times" w:eastAsia="Times New Roman" w:hAnsi="Times" w:cs="Times New Roman"/>
            <w:color w:val="426986"/>
            <w:sz w:val="22"/>
            <w:szCs w:val="22"/>
            <w:u w:val="single"/>
          </w:rPr>
          <w:t>)</w:t>
        </w:r>
      </w:hyperlink>
      <w:r w:rsidRPr="00613840">
        <w:rPr>
          <w:rFonts w:ascii="Times" w:eastAsia="Times New Roman" w:hAnsi="Times" w:cs="Times New Roman"/>
          <w:color w:val="000000"/>
          <w:sz w:val="22"/>
          <w:szCs w:val="22"/>
        </w:rPr>
        <w:t>, or public utilities with respect to any action described in this section or otherwise related to a broadband network project, including granting access to public rights-of-way, infrastructure and poles, river and bridge crossings, or any other physical assets owned or controlled by the political subdivision.</w:t>
      </w:r>
    </w:p>
    <w:p w14:paraId="0518E30B" w14:textId="77777777" w:rsidR="001B4101" w:rsidRDefault="001B4101"/>
    <w:sectPr w:rsidR="001B4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01"/>
    <w:rsid w:val="001B4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39B450"/>
  <w15:chartTrackingRefBased/>
  <w15:docId w15:val="{5619075C-2F0C-CC44-96B0-60F3F792D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document/statutes/196.504(5)(b)" TargetMode="External"/><Relationship Id="rId13" Type="http://schemas.openxmlformats.org/officeDocument/2006/relationships/hyperlink" Target="https://docs.legis.wisconsin.gov/document/statutes/182.017(1g)(cq)" TargetMode="External"/><Relationship Id="rId3" Type="http://schemas.openxmlformats.org/officeDocument/2006/relationships/webSettings" Target="webSettings.xml"/><Relationship Id="rId7" Type="http://schemas.openxmlformats.org/officeDocument/2006/relationships/hyperlink" Target="https://docs.legis.wisconsin.gov/document/statutes/196.504(4)" TargetMode="External"/><Relationship Id="rId12" Type="http://schemas.openxmlformats.org/officeDocument/2006/relationships/hyperlink" Target="https://docs.legis.wisconsin.gov/document/statutes/196.504(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legis.wisconsin.gov/document/statutes/196.504(5)" TargetMode="External"/><Relationship Id="rId11" Type="http://schemas.openxmlformats.org/officeDocument/2006/relationships/hyperlink" Target="https://docs.legis.wisconsin.gov/document/statutes/196.504(5)(f)" TargetMode="External"/><Relationship Id="rId5" Type="http://schemas.openxmlformats.org/officeDocument/2006/relationships/hyperlink" Target="https://docs.legis.wisconsin.gov/document/statutes/196.504(9)(b)" TargetMode="External"/><Relationship Id="rId15" Type="http://schemas.openxmlformats.org/officeDocument/2006/relationships/theme" Target="theme/theme1.xml"/><Relationship Id="rId10" Type="http://schemas.openxmlformats.org/officeDocument/2006/relationships/hyperlink" Target="https://docs.legis.wisconsin.gov/document/statutes/196.504(5)(f)" TargetMode="External"/><Relationship Id="rId4" Type="http://schemas.openxmlformats.org/officeDocument/2006/relationships/hyperlink" Target="https://docs.legis.wisconsin.gov/document/statutes/196.504(9)(a)" TargetMode="External"/><Relationship Id="rId9" Type="http://schemas.openxmlformats.org/officeDocument/2006/relationships/hyperlink" Target="https://docs.legis.wisconsin.gov/document/statutes/196.504(5)(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761</Words>
  <Characters>4344</Characters>
  <Application>Microsoft Office Word</Application>
  <DocSecurity>0</DocSecurity>
  <Lines>36</Lines>
  <Paragraphs>10</Paragraphs>
  <ScaleCrop>false</ScaleCrop>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moore</dc:creator>
  <cp:keywords/>
  <dc:description/>
  <cp:lastModifiedBy>tom moore</cp:lastModifiedBy>
  <cp:revision>1</cp:revision>
  <dcterms:created xsi:type="dcterms:W3CDTF">2021-09-20T20:07:00Z</dcterms:created>
  <dcterms:modified xsi:type="dcterms:W3CDTF">2021-09-20T20:08:00Z</dcterms:modified>
</cp:coreProperties>
</file>